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0372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1243-61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left="797" w:hanging="79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Ирина Петровна 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ст. 7.1 Закона ХМАО-Югры от 11.06.2010 г. № 102-оз «О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>
      <w:pPr>
        <w:widowControl w:val="0"/>
        <w:spacing w:before="0" w:after="0"/>
        <w:ind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городское муниципальное унитарное предприятие «Управление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тепловодоснабжения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водоотведения» </w:t>
      </w:r>
      <w:r>
        <w:rPr>
          <w:rFonts w:ascii="Times New Roman" w:eastAsia="Times New Roman" w:hAnsi="Times New Roman" w:cs="Times New Roman"/>
          <w:sz w:val="28"/>
          <w:szCs w:val="28"/>
        </w:rPr>
        <w:t>( 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ЛГ МУП «</w:t>
      </w:r>
      <w:r>
        <w:rPr>
          <w:rFonts w:ascii="Times New Roman" w:eastAsia="Times New Roman" w:hAnsi="Times New Roman" w:cs="Times New Roman"/>
          <w:sz w:val="28"/>
          <w:szCs w:val="28"/>
        </w:rPr>
        <w:t>УТВиВ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ОГРН 1098617001119 ИНН 8617021990 , 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Магистральная стр. 14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в отношении которого ведется производство по делу об административном правонарушении, 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22.12.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Магистральная стр.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Юридическое лицо ЛГ МУП УТВИВ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исполнило решение Антитеррористической комиссии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( п.1</w:t>
      </w:r>
      <w:r>
        <w:rPr>
          <w:rFonts w:ascii="Times New Roman" w:eastAsia="Times New Roman" w:hAnsi="Times New Roman" w:cs="Times New Roman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 от </w:t>
      </w:r>
      <w:r>
        <w:rPr>
          <w:rFonts w:ascii="Times New Roman" w:eastAsia="Times New Roman" w:hAnsi="Times New Roman" w:cs="Times New Roman"/>
          <w:sz w:val="28"/>
          <w:szCs w:val="28"/>
        </w:rPr>
        <w:t>21.10.</w:t>
      </w:r>
      <w:r>
        <w:rPr>
          <w:rFonts w:ascii="Times New Roman" w:eastAsia="Times New Roman" w:hAnsi="Times New Roman" w:cs="Times New Roman"/>
          <w:sz w:val="28"/>
          <w:szCs w:val="28"/>
        </w:rPr>
        <w:t>2025 г. № 13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, т.е.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22.12.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Аппарат АПК автономного округа отчета о мероприятиях по обеспечению антитеррористической защищенности курируемых объектов (информация,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ая письмом от 18.12.2025 г. № ИСХ-2358,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не неполной и не включает </w:t>
      </w:r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требуемые поручением),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именно отчет не содержит сведений о: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проведении регулярных объектов тренировок,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занятий и инструктажей по порядку действий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охранных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персонала объектов при угрозе совершения актов незаконного вмешательства,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 </w:t>
      </w:r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использованием(применением)БВС) обнаружении подозрительных предметов и т.д.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проведении мониторинга оперативной обстан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вки в районе расположения курируемых (подведомственных) 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организации межведомственного обмена РУФСБ Росси по Тюменской области УМВД России </w:t>
      </w:r>
      <w:r>
        <w:rPr>
          <w:rFonts w:ascii="Times New Roman" w:eastAsia="Times New Roman" w:hAnsi="Times New Roman" w:cs="Times New Roman"/>
          <w:sz w:val="28"/>
          <w:szCs w:val="28"/>
        </w:rPr>
        <w:t>по автономному округу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проведении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обеспечению курируемых (подведомственных) 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средствами пассивной,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кинетической защиты,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оборудованию постов воздушного наблюдения,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их оснащение средствами технического противодействия БВС, приборами наблюдения и прицеливания, имеющими ночное (</w:t>
      </w:r>
      <w:r>
        <w:rPr>
          <w:rFonts w:ascii="Times New Roman" w:eastAsia="Times New Roman" w:hAnsi="Times New Roman" w:cs="Times New Roman"/>
          <w:sz w:val="28"/>
          <w:szCs w:val="28"/>
        </w:rPr>
        <w:t>тепловизионное</w:t>
      </w:r>
      <w:r>
        <w:rPr>
          <w:rFonts w:ascii="Times New Roman" w:eastAsia="Times New Roman" w:hAnsi="Times New Roman" w:cs="Times New Roman"/>
          <w:sz w:val="28"/>
          <w:szCs w:val="28"/>
        </w:rPr>
        <w:t>)видение, средствами связи, оснащению объектов радиоэлектронными системами обнаружения и подавления БВС.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проведении работ по устранению нарушений в обеспечении антитеррористической защищенности объектов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 организации круглосуточного дежурства постов воздушного наблюдения при получении сигналов об угрозе атаки БВС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нарушен п. 4.1 статьи 5 ФЗ от 06.03.2006 г. № 35-ФЗ «О противодействии терроризму».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 ЛГ МУП УТВИВ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Мордакина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 действующая по доверенности № 2-Д от 12.01.2026 г. в судебном заседании вину признала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 ЛГ МУП УТВИВ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 7.1 Закона ХМАО-Югры от 11.06.2010 г. № 102-оз «О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подтверждается следующими доказательствами: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служебной запиской от 04.0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 44 –исх-01/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внеочередного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Антитеррористической комиссии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п.1.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протокола внеочередного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Антитеррористической комиссии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г. </w:t>
      </w:r>
      <w:r>
        <w:rPr>
          <w:rFonts w:ascii="Times New Roman" w:eastAsia="Times New Roman" w:hAnsi="Times New Roman" w:cs="Times New Roman"/>
          <w:sz w:val="28"/>
          <w:szCs w:val="28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 о принятых мерах предоставить в Аппарат АТК автономного округа в срок до 22.12.2025 г. ,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антитеррористической защищенности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объектов ТЭК, предусмотрены </w:t>
      </w:r>
      <w:r>
        <w:rPr>
          <w:rFonts w:ascii="Times New Roman" w:eastAsia="Times New Roman" w:hAnsi="Times New Roman" w:cs="Times New Roman"/>
          <w:sz w:val="28"/>
          <w:szCs w:val="28"/>
        </w:rPr>
        <w:t>ФЗ от 21.07.2011 г.№ 256-ФЗ «О безопасности объектов ТЭК</w:t>
      </w:r>
      <w:r>
        <w:rPr>
          <w:rFonts w:ascii="Times New Roman" w:eastAsia="Times New Roman" w:hAnsi="Times New Roman" w:cs="Times New Roman"/>
          <w:sz w:val="28"/>
          <w:szCs w:val="28"/>
        </w:rPr>
        <w:t>»,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Правительства РФ от </w:t>
      </w:r>
      <w:r>
        <w:rPr>
          <w:rFonts w:ascii="Times New Roman" w:eastAsia="Times New Roman" w:hAnsi="Times New Roman" w:cs="Times New Roman"/>
          <w:sz w:val="28"/>
          <w:szCs w:val="28"/>
        </w:rPr>
        <w:t>03.08.2024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1046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обеспечения безопасности и антитеррористической защищенности объектов ТЭК».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Невыполнение требований к антитер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рористической защищенности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объектов ТЭК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свидетельствует о нарушении законодательства о противодействии терроризму, создает угрозу жизни и здоровью неопределенного круга лиц, невозможность своевременного предупреждения и устранения последствий совершения террористического акта, противоречит охраняемым законом интересам общества и государства.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оценены в совокупности с другими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sz w:val="28"/>
          <w:szCs w:val="28"/>
        </w:rPr>
        <w:t>алами дела об административном 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26.2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ЛГ МУП УТВИВ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 7.1 Закона ХМАО-Югры от 11.06.2010 г. № 102-оз 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Неисполнение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- Югры, принятого в пределах ее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-доказана 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spacing w:before="0" w:after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 ЛГ МУП УТВИВ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 7.1 Закона ХМАО-Югры от 11.06.2010 г. № 102-оз «О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Неисполнение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- Югры, принятого в пределах ее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280" w:after="2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 следует из ст. 7.1 Закона ХМАО-Югры от 11.06.2010 г. № 102-оз «О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</w:rPr>
        <w:t>Неисполнение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решения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- Югры, принятого в пределах ее компетенции,-влечет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или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аложение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пятисот тысяч рублей.</w:t>
      </w:r>
    </w:p>
    <w:p>
      <w:pPr>
        <w:spacing w:before="280" w:after="2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тоятельств,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ответственность,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>,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судом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280" w:after="2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, учитывает имущественное положение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 убыток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 на 01.0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063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704,23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минимальном размере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Юридическое лицо ЛГ МУП УТВИВ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 7.1 Закона ХМАО-Югры от 11.06.2010 г. № 102-оз «О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 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000,00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пятьдесят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дставителю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 ЛГ МУП УТВИВ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олжностному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Билецкому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оплатить: 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округа-Югры, л/с 04872</w:t>
      </w:r>
      <w:r>
        <w:rPr>
          <w:rFonts w:ascii="Times New Roman" w:eastAsia="Times New Roman" w:hAnsi="Times New Roman" w:cs="Times New Roman"/>
          <w:sz w:val="28"/>
          <w:szCs w:val="28"/>
        </w:rPr>
        <w:t>005690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ИНН/КПП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8601024900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№8 УГУ Банка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</w:rPr>
        <w:t>,/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/УФК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370 1 16 02010 02 0000 140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032099480000000001</w:t>
      </w:r>
      <w:r>
        <w:rPr>
          <w:rFonts w:ascii="Times New Roman" w:eastAsia="Times New Roman" w:hAnsi="Times New Roman" w:cs="Times New Roman"/>
          <w:sz w:val="28"/>
          <w:szCs w:val="28"/>
        </w:rPr>
        <w:t>4065712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 5-</w:t>
      </w:r>
      <w:r>
        <w:rPr>
          <w:rFonts w:ascii="Times New Roman" w:eastAsia="Times New Roman" w:hAnsi="Times New Roman" w:cs="Times New Roman"/>
          <w:sz w:val="28"/>
          <w:szCs w:val="28"/>
        </w:rPr>
        <w:t>0372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лицу, привлеченному к административной ответственности,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/>
        <w:ind w:firstLine="7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553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EF30-FDD3-43C9-BD67-CBD8F8CA8ED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